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01FE" w14:textId="14800538" w:rsidR="00DD33DD" w:rsidRPr="00C13337" w:rsidRDefault="00DD33DD" w:rsidP="00DD33DD">
      <w:pPr>
        <w:pStyle w:val="berschriftfett"/>
        <w:pageBreakBefore/>
        <w:spacing w:before="0"/>
      </w:pPr>
      <w:bookmarkStart w:id="0" w:name="_Ref499626266"/>
      <w:bookmarkStart w:id="1" w:name="_Toc499289464"/>
      <w:bookmarkStart w:id="2" w:name="_Toc499290060"/>
      <w:bookmarkStart w:id="3" w:name="_Toc499296796"/>
      <w:bookmarkStart w:id="4" w:name="_Toc499567232"/>
      <w:bookmarkStart w:id="5" w:name="_Toc499653776"/>
      <w:bookmarkStart w:id="6" w:name="_Toc499653809"/>
      <w:bookmarkStart w:id="7" w:name="_Toc501368666"/>
      <w:bookmarkStart w:id="8" w:name="_Toc501377652"/>
      <w:bookmarkStart w:id="9" w:name="_Toc501637027"/>
      <w:bookmarkStart w:id="10" w:name="_Toc501637068"/>
      <w:bookmarkStart w:id="11" w:name="_Toc501637150"/>
      <w:bookmarkStart w:id="12" w:name="_Toc501701867"/>
      <w:bookmarkStart w:id="13" w:name="_Toc501702973"/>
      <w:bookmarkStart w:id="14" w:name="_Toc501703014"/>
      <w:bookmarkStart w:id="15" w:name="_Toc501703096"/>
      <w:bookmarkStart w:id="16" w:name="_Toc503960318"/>
      <w:bookmarkStart w:id="17" w:name="_Toc503968267"/>
      <w:bookmarkStart w:id="18" w:name="_Toc501702924"/>
      <w:bookmarkStart w:id="19" w:name="_Toc504139429"/>
      <w:bookmarkStart w:id="20" w:name="_Toc505282990"/>
      <w:bookmarkStart w:id="21" w:name="_Toc505283034"/>
      <w:bookmarkStart w:id="22" w:name="_Toc505283073"/>
      <w:bookmarkStart w:id="23" w:name="_Toc505283151"/>
      <w:bookmarkStart w:id="24" w:name="_Toc505343750"/>
      <w:bookmarkStart w:id="25" w:name="_Toc505343789"/>
      <w:bookmarkStart w:id="26" w:name="_Toc505343867"/>
      <w:bookmarkStart w:id="27" w:name="_Toc505351116"/>
      <w:bookmarkStart w:id="28" w:name="_Toc507065935"/>
      <w:bookmarkStart w:id="29" w:name="_Toc507065980"/>
      <w:bookmarkStart w:id="30" w:name="_Toc507066020"/>
      <w:bookmarkStart w:id="31" w:name="_Toc507066060"/>
      <w:bookmarkStart w:id="32" w:name="_Toc507066100"/>
      <w:bookmarkStart w:id="33" w:name="_Ref501030089"/>
      <w:r w:rsidRPr="00C13337">
        <w:t>Tool</w:t>
      </w:r>
      <w:bookmarkEnd w:id="0"/>
      <w:r w:rsidR="00DA122C">
        <w:t xml:space="preserve"> 28</w:t>
      </w:r>
      <w:r w:rsidRPr="00C13337">
        <w:t xml:space="preserve">: Checklist of minimum </w:t>
      </w:r>
      <w:hyperlink w:anchor="Tool26_27" w:history="1">
        <w:r w:rsidRPr="00C13337">
          <w:t>requirements for a project partnership agreement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hyperlink>
      <w:bookmarkEnd w:id="33"/>
    </w:p>
    <w:p w14:paraId="4A5D6250" w14:textId="77777777" w:rsidR="00DD33DD" w:rsidRPr="00C13337" w:rsidRDefault="00DD33DD" w:rsidP="00DD33DD">
      <w:pPr>
        <w:rPr>
          <w:lang w:eastAsia="en-GB" w:bidi="ar-SA"/>
        </w:rPr>
      </w:pPr>
      <w:r w:rsidRPr="00C13337">
        <w:t xml:space="preserve">At the beginning of a cross-border collaboration project, it is important to agree on duties and responsibilities before, during and after the collaboration. These should be stated in a project partnership agreement. </w:t>
      </w:r>
      <w:r w:rsidRPr="00C13337">
        <w:rPr>
          <w:lang w:eastAsia="en-GB" w:bidi="ar-SA"/>
        </w:rPr>
        <w:t>In any case, a partnership agreement that fulfils at least minimum requirements needs to be developed and signed by all project partners to foster mutual agreement about the project process.</w:t>
      </w:r>
    </w:p>
    <w:p w14:paraId="7B916669" w14:textId="77777777" w:rsidR="00DD33DD" w:rsidRPr="00C13337" w:rsidRDefault="00DD33DD" w:rsidP="00DD33DD">
      <w:r w:rsidRPr="00C13337">
        <w:t>The following checklist provides guidance on the content to be covered when drafting a project partnership agreement.</w:t>
      </w:r>
    </w:p>
    <w:p w14:paraId="1412B1B3" w14:textId="77777777" w:rsidR="00DD33DD" w:rsidRPr="00C13337" w:rsidRDefault="00DD33DD" w:rsidP="00DD33DD">
      <w:pPr>
        <w:pStyle w:val="Standard0"/>
      </w:pPr>
    </w:p>
    <w:tbl>
      <w:tblPr>
        <w:tblStyle w:val="Tabellenras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8"/>
        <w:gridCol w:w="7287"/>
        <w:gridCol w:w="3934"/>
      </w:tblGrid>
      <w:tr w:rsidR="00DD33DD" w:rsidRPr="00C13337" w14:paraId="64992870" w14:textId="77777777" w:rsidTr="00DD33DD">
        <w:trPr>
          <w:trHeight w:val="20"/>
        </w:trPr>
        <w:tc>
          <w:tcPr>
            <w:tcW w:w="1109" w:type="pct"/>
            <w:shd w:val="clear" w:color="auto" w:fill="002395"/>
          </w:tcPr>
          <w:p w14:paraId="2C37D4B4" w14:textId="77777777" w:rsidR="00DD33DD" w:rsidRPr="00C13337" w:rsidRDefault="00DD33DD" w:rsidP="00326265">
            <w:pPr>
              <w:pStyle w:val="Tabellenkopf"/>
              <w:keepNext w:val="0"/>
              <w:keepLines w:val="0"/>
              <w:rPr>
                <w:sz w:val="18"/>
                <w:szCs w:val="18"/>
              </w:rPr>
            </w:pPr>
            <w:r w:rsidRPr="00C13337">
              <w:rPr>
                <w:sz w:val="18"/>
                <w:szCs w:val="18"/>
              </w:rPr>
              <w:t>Topic</w:t>
            </w:r>
          </w:p>
        </w:tc>
        <w:tc>
          <w:tcPr>
            <w:tcW w:w="2527" w:type="pct"/>
            <w:tcBorders>
              <w:bottom w:val="single" w:sz="4" w:space="0" w:color="FFFFFF" w:themeColor="background1"/>
            </w:tcBorders>
            <w:shd w:val="clear" w:color="auto" w:fill="002395"/>
          </w:tcPr>
          <w:p w14:paraId="74E7CB77" w14:textId="77777777" w:rsidR="00DD33DD" w:rsidRPr="00C13337" w:rsidRDefault="00DD33DD" w:rsidP="00326265">
            <w:pPr>
              <w:pStyle w:val="Tabellenkopf"/>
              <w:keepNext w:val="0"/>
              <w:keepLines w:val="0"/>
              <w:rPr>
                <w:sz w:val="18"/>
                <w:szCs w:val="18"/>
              </w:rPr>
            </w:pPr>
            <w:r w:rsidRPr="00C13337">
              <w:rPr>
                <w:sz w:val="18"/>
                <w:szCs w:val="18"/>
              </w:rPr>
              <w:t>Content</w:t>
            </w:r>
          </w:p>
        </w:tc>
        <w:tc>
          <w:tcPr>
            <w:tcW w:w="1364" w:type="pct"/>
            <w:tcBorders>
              <w:bottom w:val="single" w:sz="4" w:space="0" w:color="FFFFFF" w:themeColor="background1"/>
            </w:tcBorders>
            <w:shd w:val="clear" w:color="auto" w:fill="002395"/>
          </w:tcPr>
          <w:p w14:paraId="7B757868" w14:textId="77777777" w:rsidR="00DD33DD" w:rsidRPr="00C13337" w:rsidRDefault="00DD33DD" w:rsidP="00326265">
            <w:pPr>
              <w:pStyle w:val="Tabellenkopf"/>
              <w:keepNext w:val="0"/>
              <w:keepLines w:val="0"/>
              <w:rPr>
                <w:sz w:val="18"/>
                <w:szCs w:val="18"/>
              </w:rPr>
            </w:pPr>
            <w:r w:rsidRPr="00C13337">
              <w:rPr>
                <w:sz w:val="18"/>
                <w:szCs w:val="18"/>
              </w:rPr>
              <w:t>Comments</w:t>
            </w:r>
          </w:p>
        </w:tc>
      </w:tr>
      <w:tr w:rsidR="00DD33DD" w:rsidRPr="00C13337" w14:paraId="5C77FD55" w14:textId="77777777" w:rsidTr="00DD33DD">
        <w:trPr>
          <w:trHeight w:val="20"/>
        </w:trPr>
        <w:tc>
          <w:tcPr>
            <w:tcW w:w="1109" w:type="pct"/>
            <w:shd w:val="clear" w:color="auto" w:fill="002395"/>
          </w:tcPr>
          <w:p w14:paraId="62B137DD" w14:textId="77777777" w:rsidR="00DD33DD" w:rsidRPr="00C13337" w:rsidRDefault="00DD33DD" w:rsidP="00326265">
            <w:pPr>
              <w:pStyle w:val="Tabellentext"/>
              <w:keepNext w:val="0"/>
              <w:keepLines w:val="0"/>
              <w:rPr>
                <w:sz w:val="18"/>
                <w:szCs w:val="18"/>
              </w:rPr>
            </w:pPr>
            <w:r w:rsidRPr="00C13337">
              <w:rPr>
                <w:sz w:val="18"/>
                <w:szCs w:val="18"/>
              </w:rPr>
              <w:t>Definitions of project partners</w:t>
            </w:r>
          </w:p>
          <w:p w14:paraId="43B8F7B2" w14:textId="77777777" w:rsidR="00DD33DD" w:rsidRPr="00C13337" w:rsidRDefault="00DD33DD" w:rsidP="00326265">
            <w:pPr>
              <w:pStyle w:val="Tabellentext"/>
              <w:keepNext w:val="0"/>
              <w:keepLines w:val="0"/>
              <w:rPr>
                <w:sz w:val="18"/>
                <w:szCs w:val="18"/>
              </w:rPr>
            </w:pPr>
          </w:p>
        </w:tc>
        <w:tc>
          <w:tcPr>
            <w:tcW w:w="2527" w:type="pct"/>
            <w:tcBorders>
              <w:bottom w:val="single" w:sz="4" w:space="0" w:color="auto"/>
              <w:right w:val="single" w:sz="4" w:space="0" w:color="auto"/>
            </w:tcBorders>
            <w:shd w:val="clear" w:color="auto" w:fill="F2F2F2"/>
          </w:tcPr>
          <w:p w14:paraId="2A033C69" w14:textId="77777777" w:rsidR="00DD33DD" w:rsidRPr="00C13337" w:rsidRDefault="00DD33DD" w:rsidP="00326265">
            <w:pPr>
              <w:pStyle w:val="Liste1"/>
              <w:rPr>
                <w:sz w:val="18"/>
                <w:szCs w:val="18"/>
              </w:rPr>
            </w:pPr>
            <w:r w:rsidRPr="00C13337">
              <w:rPr>
                <w:b/>
                <w:sz w:val="18"/>
                <w:szCs w:val="18"/>
              </w:rPr>
              <w:t>Lead partner</w:t>
            </w:r>
            <w:r w:rsidRPr="00C13337">
              <w:rPr>
                <w:sz w:val="18"/>
                <w:szCs w:val="18"/>
              </w:rPr>
              <w:t xml:space="preserve"> (LP): the project partner who takes overall responsibility </w:t>
            </w:r>
          </w:p>
          <w:p w14:paraId="59314C54" w14:textId="77777777" w:rsidR="00DD33DD" w:rsidRPr="00C13337" w:rsidRDefault="00DD33DD" w:rsidP="00326265">
            <w:pPr>
              <w:pStyle w:val="Liste1"/>
              <w:rPr>
                <w:sz w:val="18"/>
                <w:szCs w:val="18"/>
              </w:rPr>
            </w:pPr>
            <w:r w:rsidRPr="00C13337">
              <w:rPr>
                <w:b/>
                <w:sz w:val="18"/>
                <w:szCs w:val="18"/>
              </w:rPr>
              <w:t>Project partner</w:t>
            </w:r>
            <w:r w:rsidRPr="00C13337">
              <w:rPr>
                <w:sz w:val="18"/>
                <w:szCs w:val="18"/>
              </w:rPr>
              <w:t xml:space="preserve"> (PP): any institution participating in the project financially and contributing to its implementation</w:t>
            </w:r>
          </w:p>
        </w:tc>
        <w:tc>
          <w:tcPr>
            <w:tcW w:w="1364" w:type="pct"/>
            <w:tcBorders>
              <w:left w:val="single" w:sz="4" w:space="0" w:color="auto"/>
              <w:bottom w:val="single" w:sz="4" w:space="0" w:color="auto"/>
            </w:tcBorders>
            <w:shd w:val="clear" w:color="auto" w:fill="F2F2F2"/>
          </w:tcPr>
          <w:p w14:paraId="534A1798" w14:textId="77777777" w:rsidR="00DD33DD" w:rsidRPr="00C13337" w:rsidRDefault="00DD33DD" w:rsidP="00326265">
            <w:pPr>
              <w:pStyle w:val="Tabellentext"/>
              <w:keepNext w:val="0"/>
              <w:keepLines w:val="0"/>
              <w:rPr>
                <w:sz w:val="18"/>
                <w:szCs w:val="18"/>
              </w:rPr>
            </w:pPr>
          </w:p>
        </w:tc>
      </w:tr>
      <w:tr w:rsidR="00DD33DD" w:rsidRPr="00C13337" w14:paraId="08FA3C9A" w14:textId="77777777" w:rsidTr="00DD33DD">
        <w:trPr>
          <w:trHeight w:val="20"/>
        </w:trPr>
        <w:tc>
          <w:tcPr>
            <w:tcW w:w="1109" w:type="pct"/>
            <w:shd w:val="clear" w:color="auto" w:fill="002395"/>
          </w:tcPr>
          <w:p w14:paraId="023E7AED" w14:textId="77777777" w:rsidR="00DD33DD" w:rsidRPr="00C13337" w:rsidRDefault="00DD33DD" w:rsidP="00326265">
            <w:pPr>
              <w:pStyle w:val="Tabellentext"/>
              <w:keepNext w:val="0"/>
              <w:keepLines w:val="0"/>
              <w:rPr>
                <w:sz w:val="18"/>
                <w:szCs w:val="18"/>
              </w:rPr>
            </w:pPr>
            <w:r w:rsidRPr="00C13337">
              <w:rPr>
                <w:sz w:val="18"/>
                <w:szCs w:val="18"/>
              </w:rPr>
              <w:t xml:space="preserve">Subject and duration of the agreement </w:t>
            </w:r>
          </w:p>
          <w:p w14:paraId="31FE8FCB" w14:textId="77777777" w:rsidR="00DD33DD" w:rsidRPr="00C13337" w:rsidRDefault="00DD33DD" w:rsidP="00326265">
            <w:pPr>
              <w:pStyle w:val="Tabellentext"/>
              <w:keepNext w:val="0"/>
              <w:keepLines w:val="0"/>
              <w:rPr>
                <w:sz w:val="18"/>
                <w:szCs w:val="18"/>
              </w:rPr>
            </w:pPr>
          </w:p>
        </w:tc>
        <w:tc>
          <w:tcPr>
            <w:tcW w:w="2527" w:type="pct"/>
            <w:tcBorders>
              <w:top w:val="single" w:sz="4" w:space="0" w:color="auto"/>
              <w:bottom w:val="single" w:sz="4" w:space="0" w:color="auto"/>
              <w:right w:val="single" w:sz="4" w:space="0" w:color="auto"/>
            </w:tcBorders>
            <w:shd w:val="clear" w:color="auto" w:fill="F2F2F2"/>
          </w:tcPr>
          <w:p w14:paraId="0DDF3359" w14:textId="77777777" w:rsidR="00DD33DD" w:rsidRPr="00C13337" w:rsidRDefault="00DD33DD" w:rsidP="00326265">
            <w:pPr>
              <w:pStyle w:val="Liste1"/>
              <w:rPr>
                <w:sz w:val="18"/>
                <w:szCs w:val="18"/>
              </w:rPr>
            </w:pPr>
            <w:r w:rsidRPr="00C13337">
              <w:rPr>
                <w:sz w:val="18"/>
                <w:szCs w:val="18"/>
              </w:rPr>
              <w:t>Arrangements governing the relations between the LP and all PPs in order to ensure sound implementation of the project</w:t>
            </w:r>
          </w:p>
        </w:tc>
        <w:tc>
          <w:tcPr>
            <w:tcW w:w="1364" w:type="pct"/>
            <w:tcBorders>
              <w:top w:val="single" w:sz="4" w:space="0" w:color="auto"/>
              <w:left w:val="single" w:sz="4" w:space="0" w:color="auto"/>
              <w:bottom w:val="single" w:sz="4" w:space="0" w:color="auto"/>
            </w:tcBorders>
            <w:shd w:val="clear" w:color="auto" w:fill="F2F2F2"/>
          </w:tcPr>
          <w:p w14:paraId="46C18438" w14:textId="77777777" w:rsidR="00DD33DD" w:rsidRPr="00C13337" w:rsidRDefault="00DD33DD" w:rsidP="00326265">
            <w:pPr>
              <w:pStyle w:val="Tabellentext"/>
              <w:keepNext w:val="0"/>
              <w:keepLines w:val="0"/>
              <w:rPr>
                <w:sz w:val="18"/>
                <w:szCs w:val="18"/>
              </w:rPr>
            </w:pPr>
          </w:p>
        </w:tc>
      </w:tr>
      <w:tr w:rsidR="00DD33DD" w:rsidRPr="00C13337" w14:paraId="7D7D375C" w14:textId="77777777" w:rsidTr="00DD33DD">
        <w:trPr>
          <w:trHeight w:val="20"/>
        </w:trPr>
        <w:tc>
          <w:tcPr>
            <w:tcW w:w="1109" w:type="pct"/>
            <w:shd w:val="clear" w:color="auto" w:fill="002395"/>
          </w:tcPr>
          <w:p w14:paraId="02F394C6" w14:textId="77777777" w:rsidR="00DD33DD" w:rsidRPr="00C13337" w:rsidRDefault="00DD33DD" w:rsidP="00326265">
            <w:pPr>
              <w:pStyle w:val="Tabellentext"/>
              <w:keepNext w:val="0"/>
              <w:keepLines w:val="0"/>
              <w:rPr>
                <w:sz w:val="18"/>
                <w:szCs w:val="18"/>
              </w:rPr>
            </w:pPr>
            <w:r w:rsidRPr="00C13337">
              <w:rPr>
                <w:sz w:val="18"/>
                <w:szCs w:val="18"/>
              </w:rPr>
              <w:t>Budgetary allocation</w:t>
            </w:r>
          </w:p>
        </w:tc>
        <w:tc>
          <w:tcPr>
            <w:tcW w:w="2527" w:type="pct"/>
            <w:tcBorders>
              <w:top w:val="single" w:sz="4" w:space="0" w:color="auto"/>
              <w:bottom w:val="single" w:sz="4" w:space="0" w:color="auto"/>
              <w:right w:val="single" w:sz="4" w:space="0" w:color="auto"/>
            </w:tcBorders>
            <w:shd w:val="clear" w:color="auto" w:fill="F2F2F2"/>
          </w:tcPr>
          <w:p w14:paraId="559F2594" w14:textId="77777777" w:rsidR="00DD33DD" w:rsidRPr="00C13337" w:rsidRDefault="00DD33DD" w:rsidP="00326265">
            <w:pPr>
              <w:pStyle w:val="Liste1"/>
              <w:rPr>
                <w:sz w:val="18"/>
                <w:szCs w:val="18"/>
              </w:rPr>
            </w:pPr>
            <w:r w:rsidRPr="00C13337">
              <w:rPr>
                <w:sz w:val="18"/>
                <w:szCs w:val="18"/>
              </w:rPr>
              <w:t xml:space="preserve">The overall </w:t>
            </w:r>
            <w:r w:rsidRPr="00C13337">
              <w:rPr>
                <w:b/>
                <w:sz w:val="18"/>
                <w:szCs w:val="18"/>
              </w:rPr>
              <w:t>budgetary allocation,</w:t>
            </w:r>
            <w:r w:rsidRPr="00C13337">
              <w:rPr>
                <w:sz w:val="18"/>
                <w:szCs w:val="18"/>
              </w:rPr>
              <w:t xml:space="preserve"> based on a subsidy contract, partners’ shares, arrangements for ‘shared costs’</w:t>
            </w:r>
          </w:p>
        </w:tc>
        <w:tc>
          <w:tcPr>
            <w:tcW w:w="1364" w:type="pct"/>
            <w:tcBorders>
              <w:top w:val="single" w:sz="4" w:space="0" w:color="auto"/>
              <w:left w:val="single" w:sz="4" w:space="0" w:color="auto"/>
              <w:bottom w:val="single" w:sz="4" w:space="0" w:color="auto"/>
            </w:tcBorders>
            <w:shd w:val="clear" w:color="auto" w:fill="F2F2F2"/>
          </w:tcPr>
          <w:p w14:paraId="55717AB4" w14:textId="77777777" w:rsidR="00DD33DD" w:rsidRPr="00C13337" w:rsidRDefault="00DD33DD" w:rsidP="00326265">
            <w:pPr>
              <w:pStyle w:val="Tabellentext"/>
              <w:keepNext w:val="0"/>
              <w:keepLines w:val="0"/>
              <w:rPr>
                <w:sz w:val="18"/>
                <w:szCs w:val="18"/>
              </w:rPr>
            </w:pPr>
          </w:p>
        </w:tc>
      </w:tr>
      <w:tr w:rsidR="00DD33DD" w:rsidRPr="00C13337" w14:paraId="2B59BFBA" w14:textId="77777777" w:rsidTr="00DD33DD">
        <w:trPr>
          <w:trHeight w:val="20"/>
        </w:trPr>
        <w:tc>
          <w:tcPr>
            <w:tcW w:w="1109" w:type="pct"/>
            <w:shd w:val="clear" w:color="auto" w:fill="002395"/>
          </w:tcPr>
          <w:p w14:paraId="47C1BACF" w14:textId="77777777" w:rsidR="00DD33DD" w:rsidRPr="00C13337" w:rsidRDefault="00DD33DD" w:rsidP="00326265">
            <w:pPr>
              <w:pStyle w:val="Tabellentext"/>
              <w:keepNext w:val="0"/>
              <w:keepLines w:val="0"/>
              <w:rPr>
                <w:sz w:val="18"/>
                <w:szCs w:val="18"/>
              </w:rPr>
            </w:pPr>
            <w:r w:rsidRPr="00C13337">
              <w:rPr>
                <w:sz w:val="18"/>
                <w:szCs w:val="18"/>
              </w:rPr>
              <w:t xml:space="preserve">Project steering committee </w:t>
            </w:r>
          </w:p>
          <w:p w14:paraId="6E2870BC" w14:textId="77777777" w:rsidR="00DD33DD" w:rsidRPr="00C13337" w:rsidRDefault="00DD33DD" w:rsidP="00326265">
            <w:pPr>
              <w:pStyle w:val="Tabellentext"/>
              <w:keepNext w:val="0"/>
              <w:keepLines w:val="0"/>
              <w:rPr>
                <w:sz w:val="18"/>
                <w:szCs w:val="18"/>
              </w:rPr>
            </w:pPr>
          </w:p>
        </w:tc>
        <w:tc>
          <w:tcPr>
            <w:tcW w:w="2527" w:type="pct"/>
            <w:tcBorders>
              <w:top w:val="single" w:sz="4" w:space="0" w:color="auto"/>
              <w:bottom w:val="single" w:sz="4" w:space="0" w:color="auto"/>
              <w:right w:val="single" w:sz="4" w:space="0" w:color="auto"/>
            </w:tcBorders>
            <w:shd w:val="clear" w:color="auto" w:fill="F2F2F2"/>
          </w:tcPr>
          <w:p w14:paraId="2079DED3" w14:textId="77777777" w:rsidR="00DD33DD" w:rsidRPr="00C13337" w:rsidRDefault="00DD33DD" w:rsidP="00326265">
            <w:pPr>
              <w:pStyle w:val="Liste1"/>
              <w:rPr>
                <w:sz w:val="18"/>
                <w:szCs w:val="18"/>
              </w:rPr>
            </w:pPr>
            <w:r w:rsidRPr="00C13337">
              <w:rPr>
                <w:sz w:val="18"/>
                <w:szCs w:val="18"/>
              </w:rPr>
              <w:t xml:space="preserve">Depending on the complexity of the project, a </w:t>
            </w:r>
            <w:r w:rsidRPr="00C13337">
              <w:rPr>
                <w:b/>
                <w:sz w:val="18"/>
                <w:szCs w:val="18"/>
              </w:rPr>
              <w:t>decision-making body</w:t>
            </w:r>
            <w:r w:rsidRPr="00C13337">
              <w:rPr>
                <w:sz w:val="18"/>
                <w:szCs w:val="18"/>
              </w:rPr>
              <w:t>, composed of representatives of the LP and all PPs, might be necessary</w:t>
            </w:r>
          </w:p>
        </w:tc>
        <w:tc>
          <w:tcPr>
            <w:tcW w:w="1364" w:type="pct"/>
            <w:tcBorders>
              <w:top w:val="single" w:sz="4" w:space="0" w:color="auto"/>
              <w:left w:val="single" w:sz="4" w:space="0" w:color="auto"/>
              <w:bottom w:val="single" w:sz="4" w:space="0" w:color="auto"/>
            </w:tcBorders>
            <w:shd w:val="clear" w:color="auto" w:fill="F2F2F2"/>
          </w:tcPr>
          <w:p w14:paraId="7E66084F" w14:textId="77777777" w:rsidR="00DD33DD" w:rsidRPr="00C13337" w:rsidRDefault="00DD33DD" w:rsidP="00326265">
            <w:pPr>
              <w:pStyle w:val="Tabellentext"/>
              <w:keepNext w:val="0"/>
              <w:keepLines w:val="0"/>
              <w:rPr>
                <w:sz w:val="18"/>
                <w:szCs w:val="18"/>
              </w:rPr>
            </w:pPr>
          </w:p>
        </w:tc>
      </w:tr>
      <w:tr w:rsidR="00DD33DD" w:rsidRPr="00C13337" w14:paraId="3C8C0DF8" w14:textId="77777777" w:rsidTr="00DD33DD">
        <w:trPr>
          <w:trHeight w:val="20"/>
        </w:trPr>
        <w:tc>
          <w:tcPr>
            <w:tcW w:w="1109" w:type="pct"/>
            <w:shd w:val="clear" w:color="auto" w:fill="002395"/>
          </w:tcPr>
          <w:p w14:paraId="2D1D1452" w14:textId="77777777" w:rsidR="00DD33DD" w:rsidRPr="00C13337" w:rsidRDefault="00DD33DD" w:rsidP="00326265">
            <w:pPr>
              <w:pStyle w:val="Tabellentext"/>
              <w:keepNext w:val="0"/>
              <w:keepLines w:val="0"/>
              <w:rPr>
                <w:sz w:val="18"/>
                <w:szCs w:val="18"/>
              </w:rPr>
            </w:pPr>
            <w:r w:rsidRPr="00C13337">
              <w:rPr>
                <w:sz w:val="18"/>
                <w:szCs w:val="18"/>
              </w:rPr>
              <w:t>Financial management, verification of expenditures and liabilities</w:t>
            </w:r>
          </w:p>
        </w:tc>
        <w:tc>
          <w:tcPr>
            <w:tcW w:w="2527" w:type="pct"/>
            <w:tcBorders>
              <w:top w:val="single" w:sz="4" w:space="0" w:color="auto"/>
              <w:bottom w:val="single" w:sz="4" w:space="0" w:color="auto"/>
              <w:right w:val="single" w:sz="4" w:space="0" w:color="auto"/>
            </w:tcBorders>
            <w:shd w:val="clear" w:color="auto" w:fill="F2F2F2"/>
          </w:tcPr>
          <w:p w14:paraId="4FA147C8" w14:textId="77777777" w:rsidR="00DD33DD" w:rsidRPr="00C13337" w:rsidRDefault="00DD33DD" w:rsidP="00326265">
            <w:pPr>
              <w:pStyle w:val="Liste1"/>
              <w:rPr>
                <w:sz w:val="18"/>
                <w:szCs w:val="18"/>
              </w:rPr>
            </w:pPr>
            <w:r w:rsidRPr="00C13337">
              <w:rPr>
                <w:sz w:val="18"/>
                <w:szCs w:val="18"/>
              </w:rPr>
              <w:t>Each PP is responsible to the LP for guaranteeing the sound financial management of its budget</w:t>
            </w:r>
          </w:p>
          <w:p w14:paraId="794BB41F" w14:textId="77777777" w:rsidR="00DD33DD" w:rsidRPr="00C13337" w:rsidRDefault="00DD33DD" w:rsidP="00326265">
            <w:pPr>
              <w:pStyle w:val="Liste1"/>
              <w:rPr>
                <w:sz w:val="18"/>
                <w:szCs w:val="18"/>
              </w:rPr>
            </w:pPr>
            <w:r w:rsidRPr="00C13337">
              <w:rPr>
                <w:b/>
                <w:sz w:val="18"/>
                <w:szCs w:val="18"/>
              </w:rPr>
              <w:t>Procedures and deadlines for payments</w:t>
            </w:r>
            <w:r w:rsidRPr="00C13337">
              <w:rPr>
                <w:sz w:val="18"/>
                <w:szCs w:val="18"/>
              </w:rPr>
              <w:t xml:space="preserve"> to PPs, accounts to be used, generated revenues or spending plan</w:t>
            </w:r>
          </w:p>
          <w:p w14:paraId="6849FBC0" w14:textId="77777777" w:rsidR="00DD33DD" w:rsidRPr="00C13337" w:rsidRDefault="00DD33DD" w:rsidP="00326265">
            <w:pPr>
              <w:pStyle w:val="Liste1"/>
              <w:rPr>
                <w:sz w:val="18"/>
                <w:szCs w:val="18"/>
              </w:rPr>
            </w:pPr>
            <w:r w:rsidRPr="00C13337">
              <w:rPr>
                <w:b/>
                <w:sz w:val="18"/>
                <w:szCs w:val="18"/>
              </w:rPr>
              <w:t>Consequences/penalties</w:t>
            </w:r>
            <w:r w:rsidRPr="00C13337">
              <w:rPr>
                <w:sz w:val="18"/>
                <w:szCs w:val="18"/>
              </w:rPr>
              <w:t xml:space="preserve"> in the case of failures to deliver and irregularities</w:t>
            </w:r>
          </w:p>
          <w:p w14:paraId="794BE391" w14:textId="77777777" w:rsidR="00DD33DD" w:rsidRPr="00C13337" w:rsidRDefault="00DD33DD" w:rsidP="00326265">
            <w:pPr>
              <w:pStyle w:val="Liste1"/>
              <w:rPr>
                <w:sz w:val="18"/>
                <w:szCs w:val="18"/>
              </w:rPr>
            </w:pPr>
            <w:r w:rsidRPr="00C13337">
              <w:rPr>
                <w:b/>
                <w:sz w:val="18"/>
                <w:szCs w:val="18"/>
              </w:rPr>
              <w:t>Recovery obligations and procedures</w:t>
            </w:r>
            <w:r w:rsidRPr="00C13337">
              <w:rPr>
                <w:sz w:val="18"/>
                <w:szCs w:val="18"/>
              </w:rPr>
              <w:t>, i.e. procedures for reporting irregularities, procedures for withdrawal and recovery of unduly paid amounts, deadlines for repaying funds</w:t>
            </w:r>
          </w:p>
        </w:tc>
        <w:tc>
          <w:tcPr>
            <w:tcW w:w="1364" w:type="pct"/>
            <w:tcBorders>
              <w:top w:val="single" w:sz="4" w:space="0" w:color="auto"/>
              <w:left w:val="single" w:sz="4" w:space="0" w:color="auto"/>
              <w:bottom w:val="single" w:sz="4" w:space="0" w:color="auto"/>
            </w:tcBorders>
            <w:shd w:val="clear" w:color="auto" w:fill="F2F2F2"/>
          </w:tcPr>
          <w:p w14:paraId="6F662450" w14:textId="77777777" w:rsidR="00DD33DD" w:rsidRPr="00C13337" w:rsidRDefault="00DD33DD" w:rsidP="00326265">
            <w:pPr>
              <w:pStyle w:val="Tabellentext"/>
              <w:keepNext w:val="0"/>
              <w:keepLines w:val="0"/>
              <w:rPr>
                <w:sz w:val="18"/>
                <w:szCs w:val="18"/>
              </w:rPr>
            </w:pPr>
          </w:p>
        </w:tc>
      </w:tr>
      <w:tr w:rsidR="00DD33DD" w:rsidRPr="00C13337" w14:paraId="5CFB3871" w14:textId="77777777" w:rsidTr="00DD33DD">
        <w:trPr>
          <w:trHeight w:val="20"/>
        </w:trPr>
        <w:tc>
          <w:tcPr>
            <w:tcW w:w="1109" w:type="pct"/>
            <w:shd w:val="clear" w:color="auto" w:fill="002395"/>
          </w:tcPr>
          <w:p w14:paraId="6400B523" w14:textId="77777777" w:rsidR="00DD33DD" w:rsidRPr="00C13337" w:rsidRDefault="00DD33DD" w:rsidP="00326265">
            <w:pPr>
              <w:pStyle w:val="Tabellentext"/>
              <w:keepNext w:val="0"/>
              <w:keepLines w:val="0"/>
              <w:rPr>
                <w:sz w:val="18"/>
                <w:szCs w:val="18"/>
              </w:rPr>
            </w:pPr>
            <w:r w:rsidRPr="00C13337">
              <w:rPr>
                <w:sz w:val="18"/>
                <w:szCs w:val="18"/>
              </w:rPr>
              <w:t>Internal and external communication</w:t>
            </w:r>
          </w:p>
        </w:tc>
        <w:tc>
          <w:tcPr>
            <w:tcW w:w="2527" w:type="pct"/>
            <w:tcBorders>
              <w:top w:val="single" w:sz="4" w:space="0" w:color="auto"/>
              <w:bottom w:val="single" w:sz="4" w:space="0" w:color="auto"/>
              <w:right w:val="single" w:sz="4" w:space="0" w:color="auto"/>
            </w:tcBorders>
            <w:shd w:val="clear" w:color="auto" w:fill="F2F2F2"/>
          </w:tcPr>
          <w:p w14:paraId="0A31FBF3" w14:textId="77777777" w:rsidR="00DD33DD" w:rsidRPr="00C13337" w:rsidRDefault="00DD33DD" w:rsidP="00326265">
            <w:pPr>
              <w:pStyle w:val="Liste1"/>
              <w:rPr>
                <w:b/>
                <w:sz w:val="18"/>
                <w:szCs w:val="18"/>
              </w:rPr>
            </w:pPr>
            <w:r w:rsidRPr="00C13337">
              <w:rPr>
                <w:sz w:val="18"/>
                <w:szCs w:val="18"/>
              </w:rPr>
              <w:t xml:space="preserve">Agreement on internal and external </w:t>
            </w:r>
            <w:r w:rsidRPr="00C13337">
              <w:rPr>
                <w:b/>
                <w:sz w:val="18"/>
                <w:szCs w:val="18"/>
              </w:rPr>
              <w:t>communication flows,</w:t>
            </w:r>
          </w:p>
          <w:p w14:paraId="3A9B52E6" w14:textId="77777777" w:rsidR="00DD33DD" w:rsidRPr="00C13337" w:rsidRDefault="00DD33DD" w:rsidP="00326265">
            <w:pPr>
              <w:pStyle w:val="Liste1"/>
              <w:numPr>
                <w:ilvl w:val="0"/>
                <w:numId w:val="0"/>
              </w:numPr>
              <w:ind w:left="360"/>
              <w:rPr>
                <w:sz w:val="18"/>
                <w:szCs w:val="18"/>
              </w:rPr>
            </w:pPr>
            <w:r w:rsidRPr="00C13337">
              <w:rPr>
                <w:sz w:val="18"/>
                <w:szCs w:val="18"/>
              </w:rPr>
              <w:t>e.g. LP is responsible for external communication (ensures that the project achievements are communicated to the relevant stakeholders), PP prepares and presents deliveries and achievements as requested; both communicate within their networks</w:t>
            </w:r>
          </w:p>
        </w:tc>
        <w:tc>
          <w:tcPr>
            <w:tcW w:w="1364" w:type="pct"/>
            <w:tcBorders>
              <w:top w:val="single" w:sz="4" w:space="0" w:color="auto"/>
              <w:left w:val="single" w:sz="4" w:space="0" w:color="auto"/>
              <w:bottom w:val="single" w:sz="4" w:space="0" w:color="auto"/>
            </w:tcBorders>
            <w:shd w:val="clear" w:color="auto" w:fill="F2F2F2"/>
          </w:tcPr>
          <w:p w14:paraId="73C80F2D" w14:textId="77777777" w:rsidR="00DD33DD" w:rsidRPr="00C13337" w:rsidRDefault="00DD33DD" w:rsidP="00326265">
            <w:pPr>
              <w:pStyle w:val="Tabellentext"/>
              <w:keepNext w:val="0"/>
              <w:keepLines w:val="0"/>
              <w:rPr>
                <w:sz w:val="18"/>
                <w:szCs w:val="18"/>
              </w:rPr>
            </w:pPr>
          </w:p>
        </w:tc>
      </w:tr>
      <w:tr w:rsidR="00DD33DD" w:rsidRPr="00C13337" w14:paraId="2F9133F6" w14:textId="77777777" w:rsidTr="00DD33DD">
        <w:trPr>
          <w:trHeight w:val="20"/>
        </w:trPr>
        <w:tc>
          <w:tcPr>
            <w:tcW w:w="1109" w:type="pct"/>
            <w:shd w:val="clear" w:color="auto" w:fill="002395"/>
          </w:tcPr>
          <w:p w14:paraId="2CB13413" w14:textId="77777777" w:rsidR="00DD33DD" w:rsidRPr="00C13337" w:rsidRDefault="00DD33DD" w:rsidP="00326265">
            <w:pPr>
              <w:pStyle w:val="Tabellentext"/>
              <w:keepNext w:val="0"/>
              <w:keepLines w:val="0"/>
              <w:rPr>
                <w:sz w:val="18"/>
                <w:szCs w:val="18"/>
              </w:rPr>
            </w:pPr>
            <w:r w:rsidRPr="00C13337">
              <w:rPr>
                <w:sz w:val="18"/>
                <w:szCs w:val="18"/>
              </w:rPr>
              <w:t>Cooperation with third parties and outsourcing</w:t>
            </w:r>
          </w:p>
        </w:tc>
        <w:tc>
          <w:tcPr>
            <w:tcW w:w="2527" w:type="pct"/>
            <w:tcBorders>
              <w:top w:val="single" w:sz="4" w:space="0" w:color="auto"/>
              <w:bottom w:val="single" w:sz="4" w:space="0" w:color="auto"/>
              <w:right w:val="single" w:sz="4" w:space="0" w:color="auto"/>
            </w:tcBorders>
            <w:shd w:val="clear" w:color="auto" w:fill="F2F2F2"/>
          </w:tcPr>
          <w:p w14:paraId="25277B65" w14:textId="77777777" w:rsidR="00DD33DD" w:rsidRPr="00C13337" w:rsidRDefault="00DD33DD" w:rsidP="00326265">
            <w:pPr>
              <w:pStyle w:val="Liste1"/>
              <w:rPr>
                <w:sz w:val="18"/>
                <w:szCs w:val="18"/>
              </w:rPr>
            </w:pPr>
            <w:r w:rsidRPr="00C13337">
              <w:rPr>
                <w:sz w:val="18"/>
                <w:szCs w:val="18"/>
              </w:rPr>
              <w:t xml:space="preserve">In the event of </w:t>
            </w:r>
            <w:r w:rsidRPr="00C13337">
              <w:rPr>
                <w:b/>
                <w:sz w:val="18"/>
                <w:szCs w:val="18"/>
              </w:rPr>
              <w:t>outsourcing</w:t>
            </w:r>
            <w:r w:rsidRPr="00C13337">
              <w:rPr>
                <w:sz w:val="18"/>
                <w:szCs w:val="18"/>
              </w:rPr>
              <w:t>,</w:t>
            </w:r>
            <w:r w:rsidRPr="009C3F5D">
              <w:rPr>
                <w:sz w:val="18"/>
              </w:rPr>
              <w:t xml:space="preserve"> </w:t>
            </w:r>
            <w:r w:rsidRPr="00C13337">
              <w:rPr>
                <w:sz w:val="18"/>
                <w:szCs w:val="18"/>
              </w:rPr>
              <w:t>the PPs will remain solely responsible towards the LP</w:t>
            </w:r>
          </w:p>
        </w:tc>
        <w:tc>
          <w:tcPr>
            <w:tcW w:w="1364" w:type="pct"/>
            <w:tcBorders>
              <w:top w:val="single" w:sz="4" w:space="0" w:color="auto"/>
              <w:left w:val="single" w:sz="4" w:space="0" w:color="auto"/>
              <w:bottom w:val="single" w:sz="4" w:space="0" w:color="auto"/>
            </w:tcBorders>
            <w:shd w:val="clear" w:color="auto" w:fill="F2F2F2"/>
          </w:tcPr>
          <w:p w14:paraId="76B597E5" w14:textId="77777777" w:rsidR="00DD33DD" w:rsidRPr="00C13337" w:rsidRDefault="00DD33DD" w:rsidP="00326265">
            <w:pPr>
              <w:pStyle w:val="Tabellentext"/>
              <w:keepNext w:val="0"/>
              <w:keepLines w:val="0"/>
              <w:rPr>
                <w:sz w:val="18"/>
                <w:szCs w:val="18"/>
              </w:rPr>
            </w:pPr>
          </w:p>
        </w:tc>
      </w:tr>
      <w:tr w:rsidR="00DD33DD" w:rsidRPr="00C13337" w14:paraId="41EA53B6" w14:textId="77777777" w:rsidTr="00DD33DD">
        <w:trPr>
          <w:trHeight w:val="20"/>
        </w:trPr>
        <w:tc>
          <w:tcPr>
            <w:tcW w:w="1109" w:type="pct"/>
            <w:shd w:val="clear" w:color="auto" w:fill="002395"/>
          </w:tcPr>
          <w:p w14:paraId="7083434C" w14:textId="77777777" w:rsidR="00DD33DD" w:rsidRPr="00C13337" w:rsidRDefault="00DD33DD" w:rsidP="00326265">
            <w:pPr>
              <w:pStyle w:val="Tabellentext"/>
              <w:keepNext w:val="0"/>
              <w:keepLines w:val="0"/>
              <w:rPr>
                <w:sz w:val="18"/>
                <w:szCs w:val="18"/>
              </w:rPr>
            </w:pPr>
            <w:r w:rsidRPr="00C13337">
              <w:rPr>
                <w:sz w:val="18"/>
                <w:szCs w:val="18"/>
              </w:rPr>
              <w:lastRenderedPageBreak/>
              <w:t>Working language</w:t>
            </w:r>
          </w:p>
        </w:tc>
        <w:tc>
          <w:tcPr>
            <w:tcW w:w="2527" w:type="pct"/>
            <w:tcBorders>
              <w:top w:val="single" w:sz="4" w:space="0" w:color="auto"/>
              <w:bottom w:val="single" w:sz="4" w:space="0" w:color="auto"/>
              <w:right w:val="single" w:sz="4" w:space="0" w:color="auto"/>
            </w:tcBorders>
            <w:shd w:val="clear" w:color="auto" w:fill="F2F2F2"/>
          </w:tcPr>
          <w:p w14:paraId="76B9C021" w14:textId="77777777" w:rsidR="00DD33DD" w:rsidRDefault="00DD33DD" w:rsidP="00326265">
            <w:pPr>
              <w:pStyle w:val="Liste1"/>
              <w:rPr>
                <w:sz w:val="18"/>
                <w:szCs w:val="18"/>
              </w:rPr>
            </w:pPr>
            <w:r w:rsidRPr="00C13337">
              <w:rPr>
                <w:sz w:val="18"/>
                <w:szCs w:val="18"/>
              </w:rPr>
              <w:t xml:space="preserve">The </w:t>
            </w:r>
            <w:r w:rsidRPr="00C13337">
              <w:rPr>
                <w:b/>
                <w:sz w:val="18"/>
                <w:szCs w:val="18"/>
              </w:rPr>
              <w:t>working language</w:t>
            </w:r>
            <w:r w:rsidRPr="00C13337">
              <w:rPr>
                <w:sz w:val="18"/>
                <w:szCs w:val="18"/>
              </w:rPr>
              <w:t xml:space="preserve"> of the partnership needs to be agreed on</w:t>
            </w:r>
          </w:p>
          <w:p w14:paraId="4F0CA634" w14:textId="77777777" w:rsidR="00DD33DD" w:rsidRPr="00F81974" w:rsidRDefault="00DD33DD" w:rsidP="00326265">
            <w:pPr>
              <w:pStyle w:val="Liste1"/>
            </w:pPr>
            <w:r>
              <w:rPr>
                <w:sz w:val="18"/>
                <w:szCs w:val="18"/>
              </w:rPr>
              <w:t>Unless there is a common language, d</w:t>
            </w:r>
            <w:r w:rsidRPr="00F81974">
              <w:rPr>
                <w:sz w:val="18"/>
                <w:szCs w:val="18"/>
              </w:rPr>
              <w:t>ifferent languages should be treated equally</w:t>
            </w:r>
          </w:p>
        </w:tc>
        <w:tc>
          <w:tcPr>
            <w:tcW w:w="1364" w:type="pct"/>
            <w:tcBorders>
              <w:top w:val="single" w:sz="4" w:space="0" w:color="auto"/>
              <w:left w:val="single" w:sz="4" w:space="0" w:color="auto"/>
              <w:bottom w:val="single" w:sz="4" w:space="0" w:color="auto"/>
            </w:tcBorders>
            <w:shd w:val="clear" w:color="auto" w:fill="F2F2F2"/>
          </w:tcPr>
          <w:p w14:paraId="3350E83E" w14:textId="77777777" w:rsidR="00DD33DD" w:rsidRPr="00C13337" w:rsidRDefault="00DD33DD" w:rsidP="00326265">
            <w:pPr>
              <w:pStyle w:val="Tabellentext"/>
              <w:keepNext w:val="0"/>
              <w:keepLines w:val="0"/>
              <w:rPr>
                <w:sz w:val="18"/>
                <w:szCs w:val="18"/>
              </w:rPr>
            </w:pPr>
          </w:p>
        </w:tc>
      </w:tr>
      <w:tr w:rsidR="00DD33DD" w:rsidRPr="00C13337" w14:paraId="2FBB693A" w14:textId="77777777" w:rsidTr="00DD33DD">
        <w:trPr>
          <w:trHeight w:val="20"/>
        </w:trPr>
        <w:tc>
          <w:tcPr>
            <w:tcW w:w="1109" w:type="pct"/>
            <w:shd w:val="clear" w:color="auto" w:fill="002395"/>
          </w:tcPr>
          <w:p w14:paraId="559A4801" w14:textId="77777777" w:rsidR="00DD33DD" w:rsidRPr="00C13337" w:rsidRDefault="00DD33DD" w:rsidP="00326265">
            <w:pPr>
              <w:pStyle w:val="Tabellentext"/>
              <w:keepNext w:val="0"/>
              <w:keepLines w:val="0"/>
              <w:rPr>
                <w:sz w:val="18"/>
                <w:szCs w:val="18"/>
              </w:rPr>
            </w:pPr>
            <w:r w:rsidRPr="00C13337">
              <w:rPr>
                <w:sz w:val="18"/>
                <w:szCs w:val="18"/>
              </w:rPr>
              <w:t xml:space="preserve">Other topics depending on individual circumstances </w:t>
            </w:r>
          </w:p>
        </w:tc>
        <w:tc>
          <w:tcPr>
            <w:tcW w:w="2527" w:type="pct"/>
            <w:tcBorders>
              <w:top w:val="single" w:sz="4" w:space="0" w:color="auto"/>
              <w:right w:val="single" w:sz="4" w:space="0" w:color="auto"/>
            </w:tcBorders>
            <w:shd w:val="clear" w:color="auto" w:fill="F2F2F2"/>
          </w:tcPr>
          <w:p w14:paraId="1AC934DE" w14:textId="77777777" w:rsidR="00DD33DD" w:rsidRPr="00C13337" w:rsidRDefault="00DD33DD" w:rsidP="00326265">
            <w:pPr>
              <w:pStyle w:val="Liste1"/>
              <w:rPr>
                <w:sz w:val="18"/>
                <w:szCs w:val="18"/>
              </w:rPr>
            </w:pPr>
            <w:r w:rsidRPr="00C13337">
              <w:rPr>
                <w:sz w:val="18"/>
                <w:szCs w:val="18"/>
              </w:rPr>
              <w:t xml:space="preserve">In the case of </w:t>
            </w:r>
            <w:r w:rsidRPr="00C13337">
              <w:rPr>
                <w:b/>
                <w:sz w:val="18"/>
                <w:szCs w:val="18"/>
              </w:rPr>
              <w:t>external project funding</w:t>
            </w:r>
            <w:r w:rsidRPr="00C13337">
              <w:rPr>
                <w:sz w:val="18"/>
                <w:szCs w:val="18"/>
              </w:rPr>
              <w:t xml:space="preserve"> through national or European authorities, other/additional requirements might apply</w:t>
            </w:r>
          </w:p>
        </w:tc>
        <w:tc>
          <w:tcPr>
            <w:tcW w:w="1364" w:type="pct"/>
            <w:tcBorders>
              <w:top w:val="single" w:sz="4" w:space="0" w:color="auto"/>
              <w:left w:val="single" w:sz="4" w:space="0" w:color="auto"/>
            </w:tcBorders>
            <w:shd w:val="clear" w:color="auto" w:fill="F2F2F2"/>
          </w:tcPr>
          <w:p w14:paraId="33FDEEB5" w14:textId="77777777" w:rsidR="00DD33DD" w:rsidRPr="00C13337" w:rsidRDefault="00DD33DD" w:rsidP="00326265">
            <w:pPr>
              <w:pStyle w:val="Tabellentext"/>
              <w:keepNext w:val="0"/>
              <w:keepLines w:val="0"/>
              <w:rPr>
                <w:sz w:val="18"/>
                <w:szCs w:val="18"/>
              </w:rPr>
            </w:pPr>
          </w:p>
        </w:tc>
      </w:tr>
    </w:tbl>
    <w:p w14:paraId="43C096E2" w14:textId="2F66F4AD" w:rsidR="00DD33DD" w:rsidRPr="00C13337" w:rsidRDefault="00DD33DD" w:rsidP="00DD33DD">
      <w:pPr>
        <w:pStyle w:val="Beschriftung-Quelle"/>
        <w:rPr>
          <w:lang w:eastAsia="en-GB" w:bidi="ar-SA"/>
        </w:rPr>
      </w:pPr>
      <w:r w:rsidRPr="00C13337">
        <w:rPr>
          <w:lang w:eastAsia="en-GB" w:bidi="ar-SA"/>
        </w:rPr>
        <w:t xml:space="preserve">Source: GOE FP based on </w:t>
      </w:r>
      <w:r w:rsidRPr="00C13337">
        <w:rPr>
          <w:lang w:eastAsia="en-GB" w:bidi="ar-SA"/>
        </w:rPr>
        <w:fldChar w:fldCharType="begin"/>
      </w:r>
      <w:r>
        <w:rPr>
          <w:lang w:eastAsia="en-GB" w:bidi="ar-SA"/>
        </w:rPr>
        <w:instrText xml:space="preserve"> ADDIN EN.CITE &lt;EndNote&gt;&lt;Cite&gt;&lt;Author&gt;Programme&lt;/Author&gt;&lt;Year&gt;2017&lt;/Year&gt;&lt;RecNum&gt;152&lt;/RecNum&gt;&lt;DisplayText&gt;[1]&lt;/DisplayText&gt;&lt;record&gt;&lt;rec-number&gt;152&lt;/rec-number&gt;&lt;foreign-keys&gt;&lt;key app="EN" db-id="rezep5se2wzzz3e2rvjpvfxks0xdf00ate2p" timestamp="1507531380"&gt;152&lt;/key&gt;&lt;/foreign-keys&gt;&lt;ref-type name="Website"&gt;12&lt;/ref-type&gt;&lt;contributors&gt;&lt;authors&gt;&lt;author&gt;Interreg. Danube Transnational Programme&lt;/author&gt;&lt;/authors&gt;&lt;/contributors&gt;&lt;titles&gt;&lt;title&gt;Partnership Agreement.&lt;/title&gt;&lt;/titles&gt;&lt;number&gt;13.09.2017&lt;/number&gt;&lt;dates&gt;&lt;year&gt;2017&lt;/year&gt;&lt;/dates&gt;&lt;urls&gt;&lt;related-urls&gt;&lt;url&gt;https://www.google.at/url?sa=t&amp;amp;rct=j&amp;amp;q=&amp;amp;esrc=s&amp;amp;source=web&amp;amp;cd=2&amp;amp;cad=rja&amp;amp;uact=8&amp;amp;ved=0ahUKEwiRoL2W9-LWAhVhLsAKHfnYCUsQFggtMAE&amp;amp;url=http%3A%2F%2Fwww.interreg-danube.eu%2Fuploads%2Fmedia%2Fdefault%2F0001%2F01%2F5e06ca5f642f37cbfcfb547c23c73df1fc31b031.docx&amp;amp;usg=AOvVaw0MpisluyhAqPdXd9P4DFXo&lt;/url&gt;&lt;/related-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p>
    <w:p w14:paraId="6ED57B5D" w14:textId="68025B6C" w:rsidR="00402CE2" w:rsidRDefault="00DF40AB" w:rsidP="00DF40AB">
      <w:pPr>
        <w:pStyle w:val="berschriftfett"/>
      </w:pPr>
      <w:r>
        <w:t>Reference</w:t>
      </w:r>
    </w:p>
    <w:p w14:paraId="3BE79E2F" w14:textId="77777777" w:rsidR="00DD33DD" w:rsidRPr="00DD33DD" w:rsidRDefault="00DF40AB" w:rsidP="00DD33DD">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end"/>
      </w:r>
      <w:r w:rsidR="00DD33DD" w:rsidRPr="00DD33DD">
        <w:t>[1]</w:t>
      </w:r>
      <w:r w:rsidR="00DD33DD" w:rsidRPr="00DD33DD">
        <w:tab/>
        <w:t>Programme IDT. Partnership Agreement. 2017 Available from: https://www.google.at/url?sa=t&amp;rct=j&amp;q=&amp;esrc=s&amp;source=web&amp;cd=2&amp;cad=rja&amp;uact=8&amp;ved=0ahUKEwiRoL2W9-LWAhVhLsAKHfnYCUsQFggtMAE&amp;url=http%3A%2F%2Fwww.interreg-danube.eu%2Fuploads%2Fmedia%2Fdefault%2F0001%2F01%2F5e06ca5f642f37cbfcfb547c23c73df1fc31b031.docx&amp;usg=AOvVaw0MpisluyhAqPdXd9P4DFXo, accessed 13.09.2017.</w:t>
      </w:r>
    </w:p>
    <w:p w14:paraId="0296AF3F" w14:textId="7E41C320" w:rsidR="00DF40AB" w:rsidRPr="00DF40AB" w:rsidRDefault="00DF40AB" w:rsidP="00DF40AB">
      <w:pPr>
        <w:pStyle w:val="EndNoteBibliography"/>
      </w:pPr>
      <w:r w:rsidRPr="00DF40AB">
        <w:t>[1]</w:t>
      </w:r>
      <w:r w:rsidRPr="00DF40AB">
        <w:tab/>
        <w:t>INTERact. Project management handbook. n.d.</w:t>
      </w:r>
      <w:bookmarkStart w:id="34" w:name="_GoBack"/>
      <w:bookmarkEnd w:id="34"/>
    </w:p>
    <w:p w14:paraId="592FE9AD" w14:textId="77777777" w:rsidR="00402CE2" w:rsidRDefault="00402CE2" w:rsidP="00827F84">
      <w:pPr>
        <w:pStyle w:val="Standard0"/>
        <w:rPr>
          <w:rFonts w:cs="Arial"/>
          <w:sz w:val="18"/>
          <w:szCs w:val="18"/>
        </w:rPr>
      </w:pPr>
    </w:p>
    <w:p w14:paraId="3ECCDD40" w14:textId="13A4409A" w:rsidR="000B67E5" w:rsidRPr="000B67E5" w:rsidRDefault="00DF40AB" w:rsidP="005B19DC">
      <w:pPr>
        <w:rPr>
          <w:b/>
          <w:iCs/>
          <w:color w:val="000000"/>
          <w:sz w:val="16"/>
          <w:lang w:val="en-US"/>
        </w:rPr>
      </w:pPr>
      <w:r>
        <w:rPr>
          <w:b/>
          <w:iCs/>
          <w:color w:val="000000"/>
          <w:sz w:val="16"/>
          <w:lang w:val="en-US"/>
        </w:rPr>
        <w:t>L</w:t>
      </w:r>
      <w:r w:rsidR="000B67E5" w:rsidRPr="000B67E5">
        <w:rPr>
          <w:b/>
          <w:iCs/>
          <w:color w:val="000000"/>
          <w:sz w:val="16"/>
          <w:lang w:val="en-US"/>
        </w:rPr>
        <w:t>EGAL NOTICE</w:t>
      </w:r>
    </w:p>
    <w:p w14:paraId="5450AE06" w14:textId="77777777" w:rsidR="000B67E5" w:rsidRPr="000B67E5" w:rsidRDefault="000B67E5" w:rsidP="000B67E5">
      <w:pPr>
        <w:rPr>
          <w:b/>
          <w:color w:val="000000"/>
          <w:sz w:val="14"/>
        </w:rPr>
      </w:pPr>
      <w:r w:rsidRPr="000B67E5">
        <w:rPr>
          <w:iCs/>
          <w:color w:val="000000"/>
          <w:sz w:val="14"/>
          <w:lang w:val="en-US"/>
        </w:rPr>
        <w:t xml:space="preserve">This document was produced under the Health </w:t>
      </w:r>
      <w:proofErr w:type="spellStart"/>
      <w:r w:rsidRPr="000B67E5">
        <w:rPr>
          <w:iCs/>
          <w:color w:val="000000"/>
          <w:sz w:val="14"/>
          <w:lang w:val="en-US"/>
        </w:rPr>
        <w:t>Programme</w:t>
      </w:r>
      <w:proofErr w:type="spellEnd"/>
      <w:r w:rsidRPr="000B67E5">
        <w:rPr>
          <w:iCs/>
          <w:color w:val="000000"/>
          <w:sz w:val="14"/>
          <w:lang w:val="en-US"/>
        </w:rPr>
        <w:t xml:space="preserve"> (2014-2020) in the frame of a specific contract with the Consumers, Health, Agriculture and Food Executive Agency (</w:t>
      </w:r>
      <w:proofErr w:type="spellStart"/>
      <w:r w:rsidRPr="000B67E5">
        <w:rPr>
          <w:iCs/>
          <w:color w:val="000000"/>
          <w:sz w:val="14"/>
          <w:lang w:val="en-US"/>
        </w:rPr>
        <w:t>Chafea</w:t>
      </w:r>
      <w:proofErr w:type="spellEnd"/>
      <w:r w:rsidRPr="000B67E5">
        <w:rPr>
          <w:iCs/>
          <w:color w:val="000000"/>
          <w:sz w:val="14"/>
          <w:lang w:val="en-US"/>
        </w:rPr>
        <w:t xml:space="preserve">) acting under the mandate of the European Commission. The content of this document represents the views of the contractor and is its sole responsibility; it can in no way be taken to reflect the views of the European Commission and/or </w:t>
      </w:r>
      <w:proofErr w:type="spellStart"/>
      <w:r w:rsidRPr="000B67E5">
        <w:rPr>
          <w:iCs/>
          <w:color w:val="000000"/>
          <w:sz w:val="14"/>
          <w:lang w:val="en-US"/>
        </w:rPr>
        <w:t>Chafea</w:t>
      </w:r>
      <w:proofErr w:type="spellEnd"/>
      <w:r w:rsidRPr="000B67E5">
        <w:rPr>
          <w:iCs/>
          <w:color w:val="000000"/>
          <w:sz w:val="14"/>
          <w:lang w:val="en-US"/>
        </w:rPr>
        <w:t xml:space="preserve"> or any other body of the European Union. The European Commission and/or </w:t>
      </w:r>
      <w:proofErr w:type="spellStart"/>
      <w:r w:rsidRPr="000B67E5">
        <w:rPr>
          <w:iCs/>
          <w:color w:val="000000"/>
          <w:sz w:val="14"/>
          <w:lang w:val="en-US"/>
        </w:rPr>
        <w:t>Chafea</w:t>
      </w:r>
      <w:proofErr w:type="spellEnd"/>
      <w:r w:rsidRPr="000B67E5">
        <w:rPr>
          <w:iCs/>
          <w:color w:val="000000"/>
          <w:sz w:val="14"/>
          <w:lang w:val="en-US"/>
        </w:rPr>
        <w:t xml:space="preserve"> do not guarantee the accuracy of the data included in this document, nor do they accept responsibility for any use made by third parties thereof.</w:t>
      </w:r>
    </w:p>
    <w:p w14:paraId="041224E6" w14:textId="4E6EC99B" w:rsidR="000B67E5" w:rsidRPr="000B67E5" w:rsidRDefault="000B67E5" w:rsidP="000B67E5">
      <w:pPr>
        <w:pStyle w:val="FooterDate"/>
        <w:ind w:right="-1"/>
        <w:rPr>
          <w:rFonts w:cs="Arial"/>
          <w:sz w:val="18"/>
          <w:szCs w:val="18"/>
          <w:lang w:val="en-GB"/>
        </w:rPr>
      </w:pPr>
    </w:p>
    <w:p w14:paraId="471E4493" w14:textId="5AC010B6" w:rsidR="000B67E5" w:rsidRDefault="00DF40AB" w:rsidP="000B67E5">
      <w:pPr>
        <w:pStyle w:val="FooterDate"/>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3CE8AA6F">
            <wp:simplePos x="0" y="0"/>
            <wp:positionH relativeFrom="page">
              <wp:posOffset>7843520</wp:posOffset>
            </wp:positionH>
            <wp:positionV relativeFrom="paragraph">
              <wp:posOffset>507365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b/>
          <w:noProof/>
          <w:color w:val="000000"/>
          <w:sz w:val="24"/>
          <w:szCs w:val="24"/>
          <w:lang w:val="en-GB" w:eastAsia="en-GB"/>
        </w:rPr>
        <w:drawing>
          <wp:inline distT="0" distB="0" distL="0" distR="0" wp14:anchorId="5BD49E82" wp14:editId="1240BB17">
            <wp:extent cx="3552825" cy="57341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517" cy="585142"/>
                    </a:xfrm>
                    <a:prstGeom prst="rect">
                      <a:avLst/>
                    </a:prstGeom>
                    <a:noFill/>
                    <a:ln>
                      <a:noFill/>
                    </a:ln>
                  </pic:spPr>
                </pic:pic>
              </a:graphicData>
            </a:graphic>
          </wp:inline>
        </w:drawing>
      </w:r>
    </w:p>
    <w:p w14:paraId="0A1F5A65" w14:textId="21873319" w:rsidR="000B67E5" w:rsidRDefault="000B67E5" w:rsidP="000B67E5">
      <w:pPr>
        <w:pStyle w:val="FooterDate"/>
        <w:ind w:right="-1"/>
        <w:rPr>
          <w:rFonts w:cs="Arial"/>
          <w:sz w:val="18"/>
          <w:szCs w:val="18"/>
          <w:lang w:val="de-DE"/>
        </w:rPr>
      </w:pPr>
    </w:p>
    <w:p w14:paraId="2B7D4A34" w14:textId="0541C0A7" w:rsidR="000B67E5" w:rsidRPr="005C6E6F" w:rsidRDefault="0038704E" w:rsidP="000B67E5">
      <w:pPr>
        <w:pStyle w:val="FooterDate"/>
        <w:ind w:right="-1"/>
        <w:rPr>
          <w:rFonts w:cs="Arial"/>
          <w:sz w:val="18"/>
          <w:szCs w:val="18"/>
          <w:lang w:val="de-DE"/>
        </w:rPr>
      </w:pPr>
      <w:r>
        <w:rPr>
          <w:noProof/>
          <w:lang w:val="en-GB" w:eastAsia="en-GB"/>
        </w:rPr>
        <w:drawing>
          <wp:anchor distT="0" distB="0" distL="114300" distR="114300" simplePos="0" relativeHeight="251662336" behindDoc="1" locked="0" layoutInCell="1" allowOverlap="1" wp14:anchorId="62B60AB1" wp14:editId="1BD79775">
            <wp:simplePos x="0" y="0"/>
            <wp:positionH relativeFrom="column">
              <wp:posOffset>7210425</wp:posOffset>
            </wp:positionH>
            <wp:positionV relativeFrom="paragraph">
              <wp:posOffset>125095</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B67E5" w:rsidRPr="005C6E6F">
        <w:rPr>
          <w:rFonts w:cs="Arial"/>
          <w:sz w:val="18"/>
          <w:szCs w:val="18"/>
          <w:lang w:val="de-DE"/>
        </w:rPr>
        <w:t>Written</w:t>
      </w:r>
      <w:proofErr w:type="spellEnd"/>
      <w:r w:rsidR="000B67E5" w:rsidRPr="005C6E6F">
        <w:rPr>
          <w:rFonts w:cs="Arial"/>
          <w:sz w:val="18"/>
          <w:szCs w:val="18"/>
          <w:lang w:val="de-DE"/>
        </w:rPr>
        <w:t xml:space="preserve"> </w:t>
      </w:r>
      <w:proofErr w:type="spellStart"/>
      <w:r w:rsidR="000B67E5" w:rsidRPr="005C6E6F">
        <w:rPr>
          <w:rFonts w:cs="Arial"/>
          <w:sz w:val="18"/>
          <w:szCs w:val="18"/>
          <w:lang w:val="de-DE"/>
        </w:rPr>
        <w:t>by</w:t>
      </w:r>
      <w:proofErr w:type="spellEnd"/>
      <w:r w:rsidR="000B67E5" w:rsidRPr="005C6E6F">
        <w:rPr>
          <w:rFonts w:cs="Arial"/>
          <w:sz w:val="18"/>
          <w:szCs w:val="18"/>
          <w:lang w:val="de-DE"/>
        </w:rPr>
        <w:t xml:space="preserve"> Gesundheit Österreich</w:t>
      </w:r>
      <w:r w:rsidR="000B67E5" w:rsidRPr="005C6E6F">
        <w:rPr>
          <w:rFonts w:cs="Arial"/>
          <w:sz w:val="18"/>
          <w:szCs w:val="18"/>
          <w:lang w:val="de-DE"/>
        </w:rPr>
        <w:br/>
      </w:r>
      <w:proofErr w:type="spellStart"/>
      <w:r w:rsidR="000B67E5" w:rsidRPr="005C6E6F">
        <w:rPr>
          <w:rFonts w:cs="Arial"/>
          <w:sz w:val="18"/>
          <w:szCs w:val="18"/>
          <w:lang w:val="de-DE"/>
        </w:rPr>
        <w:t>Forschungs</w:t>
      </w:r>
      <w:proofErr w:type="spellEnd"/>
      <w:r w:rsidR="000B67E5" w:rsidRPr="005C6E6F">
        <w:rPr>
          <w:rFonts w:cs="Arial"/>
          <w:sz w:val="18"/>
          <w:szCs w:val="18"/>
          <w:lang w:val="de-DE"/>
        </w:rPr>
        <w:t xml:space="preserve"> und </w:t>
      </w:r>
      <w:proofErr w:type="spellStart"/>
      <w:r w:rsidR="000B67E5" w:rsidRPr="005C6E6F">
        <w:rPr>
          <w:rFonts w:cs="Arial"/>
          <w:sz w:val="18"/>
          <w:szCs w:val="18"/>
          <w:lang w:val="de-DE"/>
        </w:rPr>
        <w:t>Planungs</w:t>
      </w:r>
      <w:proofErr w:type="spellEnd"/>
      <w:r w:rsidR="000B67E5" w:rsidRPr="005C6E6F">
        <w:rPr>
          <w:rFonts w:cs="Arial"/>
          <w:sz w:val="18"/>
          <w:szCs w:val="18"/>
          <w:lang w:val="de-DE"/>
        </w:rPr>
        <w:t xml:space="preserve"> GmbH</w:t>
      </w:r>
    </w:p>
    <w:p w14:paraId="47EE1008" w14:textId="2E3EA0E1" w:rsidR="009C2B8D" w:rsidRDefault="000B67E5" w:rsidP="000B67E5">
      <w:pPr>
        <w:pStyle w:val="FooterDate"/>
        <w:ind w:right="-1"/>
        <w:rPr>
          <w:rFonts w:cs="Arial"/>
          <w:sz w:val="18"/>
          <w:szCs w:val="18"/>
        </w:rPr>
      </w:pPr>
      <w:r>
        <w:rPr>
          <w:rFonts w:cs="Arial"/>
          <w:sz w:val="18"/>
          <w:szCs w:val="18"/>
        </w:rPr>
        <w:t>March 2018</w:t>
      </w:r>
    </w:p>
    <w:p w14:paraId="30E8F283" w14:textId="2BE991EF" w:rsidR="009C2B8D" w:rsidRDefault="009C2B8D" w:rsidP="000B67E5">
      <w:pPr>
        <w:pStyle w:val="FooterDate"/>
        <w:ind w:right="-1"/>
        <w:rPr>
          <w:rFonts w:cs="Arial"/>
          <w:sz w:val="18"/>
          <w:szCs w:val="18"/>
        </w:rPr>
      </w:pPr>
    </w:p>
    <w:p w14:paraId="62F02307" w14:textId="25CAA162" w:rsidR="004F4BA4" w:rsidRDefault="004F4BA4" w:rsidP="000B67E5">
      <w:pPr>
        <w:pStyle w:val="FooterDate"/>
        <w:ind w:right="-1"/>
        <w:rPr>
          <w:rFonts w:cs="Arial"/>
          <w:sz w:val="18"/>
          <w:szCs w:val="18"/>
        </w:rPr>
      </w:pPr>
    </w:p>
    <w:sectPr w:rsidR="004F4BA4" w:rsidSect="00DD33DD">
      <w:headerReference w:type="default" r:id="rId11"/>
      <w:footerReference w:type="default" r:id="rId12"/>
      <w:pgSz w:w="16840" w:h="11907" w:orient="landscape" w:code="9"/>
      <w:pgMar w:top="1418" w:right="1418" w:bottom="1418" w:left="993"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932"/>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DA122C" w:rsidRPr="00DA122C">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6BC1BCB4" w:rsidR="00CC634B" w:rsidRPr="00843D56" w:rsidRDefault="00CC634B" w:rsidP="00843D56">
    <w:pPr>
      <w:pBdr>
        <w:bottom w:val="single" w:sz="4" w:space="1" w:color="auto"/>
      </w:pBdr>
      <w:tabs>
        <w:tab w:val="right" w:pos="14429"/>
      </w:tabs>
      <w:jc w:val="left"/>
      <w:rPr>
        <w:color w:val="auto"/>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E5E2D"/>
    <w:rsid w:val="0020460D"/>
    <w:rsid w:val="0038704E"/>
    <w:rsid w:val="003D7D19"/>
    <w:rsid w:val="00402CE2"/>
    <w:rsid w:val="00472BFF"/>
    <w:rsid w:val="004F4BA4"/>
    <w:rsid w:val="005B19DC"/>
    <w:rsid w:val="005C4259"/>
    <w:rsid w:val="00637D52"/>
    <w:rsid w:val="006F202F"/>
    <w:rsid w:val="006F2DD8"/>
    <w:rsid w:val="00712F35"/>
    <w:rsid w:val="00753FA9"/>
    <w:rsid w:val="00790738"/>
    <w:rsid w:val="00827F84"/>
    <w:rsid w:val="00843D56"/>
    <w:rsid w:val="008D7FFC"/>
    <w:rsid w:val="00970E22"/>
    <w:rsid w:val="009C2B8D"/>
    <w:rsid w:val="009F1300"/>
    <w:rsid w:val="00BC0A62"/>
    <w:rsid w:val="00CC634B"/>
    <w:rsid w:val="00D1780E"/>
    <w:rsid w:val="00DA122C"/>
    <w:rsid w:val="00DD33DD"/>
    <w:rsid w:val="00DF28FC"/>
    <w:rsid w:val="00DF40AB"/>
    <w:rsid w:val="00EC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9C2B8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7BE9-2EBE-4874-A153-E69890C5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3</cp:revision>
  <dcterms:created xsi:type="dcterms:W3CDTF">2018-03-16T12:07:00Z</dcterms:created>
  <dcterms:modified xsi:type="dcterms:W3CDTF">2018-03-21T12:37:00Z</dcterms:modified>
</cp:coreProperties>
</file>